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501E" w14:textId="35925E34" w:rsidR="00280119" w:rsidRDefault="00280119">
      <w:r>
        <w:t>TI 23</w:t>
      </w:r>
      <w:r w:rsidR="00B84D43">
        <w:t xml:space="preserve"> </w:t>
      </w:r>
      <w:r>
        <w:t>-12 Technology Example – Lonestar Deepwater Decommissioning Analytics Tools</w:t>
      </w:r>
    </w:p>
    <w:p w14:paraId="3D1D5269" w14:textId="77777777" w:rsidR="00280119" w:rsidRDefault="00280119">
      <w:r>
        <w:rPr>
          <w:noProof/>
        </w:rPr>
        <w:drawing>
          <wp:inline distT="0" distB="0" distL="0" distR="0" wp14:anchorId="761D4464" wp14:editId="5BD5A032">
            <wp:extent cx="4476750" cy="3372527"/>
            <wp:effectExtent l="0" t="0" r="0" b="0"/>
            <wp:docPr id="952983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59" cy="3381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F52DF" w14:textId="77777777" w:rsidR="00280119" w:rsidRPr="00280119" w:rsidRDefault="00280119" w:rsidP="0028011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  <w14:ligatures w14:val="none"/>
        </w:rPr>
      </w:pPr>
      <w:r w:rsidRPr="0028011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bdr w:val="none" w:sz="0" w:space="0" w:color="auto" w:frame="1"/>
          <w:lang w:eastAsia="en-GB"/>
          <w14:ligatures w14:val="none"/>
        </w:rPr>
        <w:t>Decommissioning</w:t>
      </w:r>
    </w:p>
    <w:p w14:paraId="004B0EDB" w14:textId="77777777" w:rsidR="00280119" w:rsidRPr="00280119" w:rsidRDefault="00280119" w:rsidP="0028011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proofErr w:type="spellStart"/>
      <w:r w:rsidRPr="0028011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LoneStar</w:t>
      </w:r>
      <w:proofErr w:type="spellEnd"/>
      <w:r w:rsidRPr="0028011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Deepwater provides experienced project leads to manage or support every phase of the decommissioning and abandonment of existing offshore facilities. </w:t>
      </w:r>
      <w:proofErr w:type="spellStart"/>
      <w:r w:rsidRPr="0028011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LoneStar</w:t>
      </w:r>
      <w:proofErr w:type="spellEnd"/>
      <w:r w:rsidRPr="0028011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also has comprehensive experience in the management of post-storm decommissioning and abandonment of facilities damaged or destroyed. Such experience includes overall project management down to construction and diving supervision leads</w:t>
      </w:r>
      <w:r w:rsidRPr="00280119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5A8592DE" w14:textId="77777777" w:rsidR="00280119" w:rsidRPr="00280119" w:rsidRDefault="00280119" w:rsidP="0028011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28011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Services </w:t>
      </w:r>
      <w:proofErr w:type="gramStart"/>
      <w:r w:rsidRPr="0028011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include</w:t>
      </w:r>
      <w:proofErr w:type="gramEnd"/>
    </w:p>
    <w:p w14:paraId="5160280A" w14:textId="77777777" w:rsidR="00280119" w:rsidRPr="00280119" w:rsidRDefault="00280119" w:rsidP="00280119">
      <w:pPr>
        <w:numPr>
          <w:ilvl w:val="0"/>
          <w:numId w:val="1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Project Management and Planning.</w:t>
      </w:r>
    </w:p>
    <w:p w14:paraId="70ECE43E" w14:textId="77777777" w:rsidR="00280119" w:rsidRPr="00280119" w:rsidRDefault="00280119" w:rsidP="00280119">
      <w:pPr>
        <w:numPr>
          <w:ilvl w:val="0"/>
          <w:numId w:val="1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Abandonment Liability Estimates.</w:t>
      </w:r>
    </w:p>
    <w:p w14:paraId="4AFD0BD8" w14:textId="77777777" w:rsidR="00280119" w:rsidRPr="00280119" w:rsidRDefault="00280119" w:rsidP="00280119">
      <w:pPr>
        <w:numPr>
          <w:ilvl w:val="0"/>
          <w:numId w:val="1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Management of Project Accounting, Regulatory and Financial Reporting requirements.</w:t>
      </w:r>
    </w:p>
    <w:p w14:paraId="68BC37E8" w14:textId="77777777" w:rsidR="00280119" w:rsidRPr="00280119" w:rsidRDefault="00280119" w:rsidP="00280119">
      <w:pPr>
        <w:numPr>
          <w:ilvl w:val="0"/>
          <w:numId w:val="1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Decommissioning Execution Plan strategy and development.</w:t>
      </w:r>
    </w:p>
    <w:p w14:paraId="17B9A257" w14:textId="77777777" w:rsidR="00280119" w:rsidRPr="00280119" w:rsidRDefault="00280119" w:rsidP="00280119">
      <w:pPr>
        <w:numPr>
          <w:ilvl w:val="0"/>
          <w:numId w:val="2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Management and supervision of detailed pre-abandonment surveys and execution risk assessments.</w:t>
      </w:r>
    </w:p>
    <w:p w14:paraId="47959C07" w14:textId="77777777" w:rsidR="00280119" w:rsidRPr="00280119" w:rsidRDefault="00280119" w:rsidP="00280119">
      <w:pPr>
        <w:numPr>
          <w:ilvl w:val="0"/>
          <w:numId w:val="2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Contractor selection.</w:t>
      </w:r>
    </w:p>
    <w:p w14:paraId="518F89C4" w14:textId="77777777" w:rsidR="00280119" w:rsidRPr="00280119" w:rsidRDefault="00280119" w:rsidP="00280119">
      <w:pPr>
        <w:numPr>
          <w:ilvl w:val="0"/>
          <w:numId w:val="2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Tool testing protocols and testing supervision.</w:t>
      </w:r>
    </w:p>
    <w:p w14:paraId="0AA4FA26" w14:textId="77777777" w:rsidR="00280119" w:rsidRPr="00280119" w:rsidRDefault="00280119" w:rsidP="00280119">
      <w:pPr>
        <w:numPr>
          <w:ilvl w:val="0"/>
          <w:numId w:val="2"/>
        </w:numPr>
        <w:shd w:val="clear" w:color="auto" w:fill="F2F2F2"/>
        <w:spacing w:before="100" w:beforeAutospacing="1" w:after="300" w:line="240" w:lineRule="auto"/>
        <w:ind w:left="1020"/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</w:pPr>
      <w:r w:rsidRPr="00280119">
        <w:rPr>
          <w:rFonts w:ascii="Arial" w:eastAsia="Times New Roman" w:hAnsi="Arial" w:cs="Arial"/>
          <w:color w:val="757575"/>
          <w:kern w:val="0"/>
          <w:sz w:val="24"/>
          <w:szCs w:val="24"/>
          <w:lang w:eastAsia="en-GB"/>
          <w14:ligatures w14:val="none"/>
        </w:rPr>
        <w:t>Offshore decommissioning supervision.</w:t>
      </w:r>
    </w:p>
    <w:sectPr w:rsidR="00280119" w:rsidRPr="0028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9DB"/>
    <w:multiLevelType w:val="multilevel"/>
    <w:tmpl w:val="7DC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87B61"/>
    <w:multiLevelType w:val="multilevel"/>
    <w:tmpl w:val="FFC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465176">
    <w:abstractNumId w:val="1"/>
  </w:num>
  <w:num w:numId="2" w16cid:durableId="14876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9"/>
    <w:rsid w:val="00280119"/>
    <w:rsid w:val="007370B9"/>
    <w:rsid w:val="00B84D43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277C"/>
  <w15:chartTrackingRefBased/>
  <w15:docId w15:val="{802E51F2-6BE1-4317-9027-13BBDBF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34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F2F2F2"/>
                                <w:left w:val="none" w:sz="0" w:space="0" w:color="F2F2F2"/>
                                <w:bottom w:val="none" w:sz="0" w:space="0" w:color="F2F2F2"/>
                                <w:right w:val="none" w:sz="0" w:space="0" w:color="F2F2F2"/>
                              </w:divBdr>
                              <w:divsChild>
                                <w:div w:id="13659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889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4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9818">
                                      <w:marLeft w:val="30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0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37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F2F2F2"/>
                                <w:left w:val="none" w:sz="0" w:space="0" w:color="F2F2F2"/>
                                <w:bottom w:val="none" w:sz="0" w:space="0" w:color="F2F2F2"/>
                                <w:right w:val="none" w:sz="0" w:space="0" w:color="F2F2F2"/>
                              </w:divBdr>
                              <w:divsChild>
                                <w:div w:id="8713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7725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5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68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F2F2F2"/>
                                <w:left w:val="none" w:sz="0" w:space="0" w:color="F2F2F2"/>
                                <w:bottom w:val="none" w:sz="0" w:space="0" w:color="F2F2F2"/>
                                <w:right w:val="none" w:sz="0" w:space="0" w:color="F2F2F2"/>
                              </w:divBdr>
                              <w:divsChild>
                                <w:div w:id="9958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91965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4E99EB98-E46E-4D1B-8BA7-1C7E3F898624}"/>
</file>

<file path=customXml/itemProps2.xml><?xml version="1.0" encoding="utf-8"?>
<ds:datastoreItem xmlns:ds="http://schemas.openxmlformats.org/officeDocument/2006/customXml" ds:itemID="{67B9C874-66CD-4184-9FD5-5845F01D718E}"/>
</file>

<file path=customXml/itemProps3.xml><?xml version="1.0" encoding="utf-8"?>
<ds:datastoreItem xmlns:ds="http://schemas.openxmlformats.org/officeDocument/2006/customXml" ds:itemID="{8090B298-42E7-45EA-83AA-512B2F0C8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2023-11-08T13:52:00Z</dcterms:created>
  <dcterms:modified xsi:type="dcterms:W3CDTF">2023-11-08T13:58:00Z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